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48" w:rsidRDefault="0093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классификация нормативов ВФСК ГТО утверждена с 1 апреля 2023 года и до 2027 года. Соответствующий приказ подписал Министр спорта РФ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Матыцин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4259" w:rsidRDefault="0093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важнейших обновлений:</w:t>
      </w:r>
    </w:p>
    <w:p w:rsidR="00934259" w:rsidRDefault="0093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планки результатов, примерно на 1,5 – 2%, для золотого и серебряного знаков отличия ГТО и понижение для бронзового знака;</w:t>
      </w:r>
    </w:p>
    <w:p w:rsidR="00934259" w:rsidRPr="00934259" w:rsidRDefault="009342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появление 18 возрастных  ступеней</w:t>
      </w:r>
    </w:p>
    <w:p w:rsidR="00934259" w:rsidRDefault="00934259">
      <w:r>
        <w:rPr>
          <w:rFonts w:ascii="Times New Roman" w:hAnsi="Times New Roman" w:cs="Times New Roman"/>
          <w:sz w:val="28"/>
          <w:szCs w:val="28"/>
        </w:rPr>
        <w:t xml:space="preserve">Более подробную информацию  по  обновлению  испытаний  ВФСК  ГТО читайте на сайте </w:t>
      </w:r>
      <w:hyperlink r:id="rId5" w:tgtFrame="_blank" w:history="1">
        <w:r w:rsidR="009D5F2C">
          <w:rPr>
            <w:rStyle w:val="a3"/>
            <w:rFonts w:ascii="Arial" w:hAnsi="Arial" w:cs="Arial"/>
            <w:shd w:val="clear" w:color="auto" w:fill="FFFFFF"/>
          </w:rPr>
          <w:t>http://minsport.gov.ru/press-centre/news/38540/</w:t>
        </w:r>
      </w:hyperlink>
      <w:r w:rsidR="009D5F2C">
        <w:t xml:space="preserve"> </w:t>
      </w:r>
    </w:p>
    <w:p w:rsidR="00875D15" w:rsidRPr="00934259" w:rsidRDefault="00875D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5D15" w:rsidRPr="0093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59"/>
    <w:rsid w:val="000D3D48"/>
    <w:rsid w:val="00875D15"/>
    <w:rsid w:val="00934259"/>
    <w:rsid w:val="009D5F2C"/>
    <w:rsid w:val="00D7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F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5F2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5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sport.gov.ru/press-centre/news/3854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2023-04-21T00:49:00Z</dcterms:created>
  <dcterms:modified xsi:type="dcterms:W3CDTF">2023-04-21T02:24:00Z</dcterms:modified>
</cp:coreProperties>
</file>